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8BA" w:rsidRPr="00234764" w:rsidRDefault="007528BA" w:rsidP="007528BA">
      <w:pPr>
        <w:pStyle w:val="NoSpacing"/>
        <w:rPr>
          <w:sz w:val="24"/>
          <w:szCs w:val="24"/>
        </w:rPr>
      </w:pPr>
      <w:bookmarkStart w:id="0" w:name="_GoBack"/>
      <w:bookmarkEnd w:id="0"/>
      <w:r w:rsidRPr="00234764">
        <w:rPr>
          <w:sz w:val="24"/>
          <w:szCs w:val="24"/>
        </w:rPr>
        <w:t>March 6, 2014</w:t>
      </w:r>
    </w:p>
    <w:p w:rsidR="007528BA" w:rsidRPr="00234764" w:rsidRDefault="007528BA" w:rsidP="007528BA">
      <w:pPr>
        <w:pStyle w:val="NoSpacing"/>
        <w:rPr>
          <w:sz w:val="24"/>
          <w:szCs w:val="24"/>
        </w:rPr>
      </w:pPr>
    </w:p>
    <w:p w:rsidR="007528BA" w:rsidRPr="00234764" w:rsidRDefault="007528BA" w:rsidP="007528BA">
      <w:pPr>
        <w:pStyle w:val="NoSpacing"/>
        <w:rPr>
          <w:sz w:val="24"/>
          <w:szCs w:val="24"/>
        </w:rPr>
      </w:pPr>
      <w:r w:rsidRPr="00234764">
        <w:rPr>
          <w:sz w:val="24"/>
          <w:szCs w:val="24"/>
        </w:rPr>
        <w:t>Ms. Barbara Nielson</w:t>
      </w:r>
    </w:p>
    <w:p w:rsidR="007528BA" w:rsidRPr="00234764" w:rsidRDefault="007528BA" w:rsidP="007528BA">
      <w:pPr>
        <w:pStyle w:val="NoSpacing"/>
        <w:rPr>
          <w:sz w:val="24"/>
          <w:szCs w:val="24"/>
        </w:rPr>
      </w:pPr>
      <w:r w:rsidRPr="00234764">
        <w:rPr>
          <w:sz w:val="24"/>
          <w:szCs w:val="24"/>
        </w:rPr>
        <w:t>Manager, Remediation Division</w:t>
      </w:r>
    </w:p>
    <w:p w:rsidR="007528BA" w:rsidRPr="00234764" w:rsidRDefault="007528BA" w:rsidP="007528BA">
      <w:pPr>
        <w:pStyle w:val="NoSpacing"/>
        <w:rPr>
          <w:sz w:val="24"/>
          <w:szCs w:val="24"/>
        </w:rPr>
      </w:pPr>
      <w:r w:rsidRPr="00234764">
        <w:rPr>
          <w:sz w:val="24"/>
          <w:szCs w:val="24"/>
        </w:rPr>
        <w:t>Freeport-McMoRan Copper &amp; Gold, Inc.</w:t>
      </w:r>
    </w:p>
    <w:p w:rsidR="007528BA" w:rsidRPr="00234764" w:rsidRDefault="007528BA" w:rsidP="007528BA">
      <w:pPr>
        <w:pStyle w:val="NoSpacing"/>
        <w:rPr>
          <w:sz w:val="24"/>
          <w:szCs w:val="24"/>
        </w:rPr>
      </w:pPr>
      <w:r w:rsidRPr="00234764">
        <w:rPr>
          <w:sz w:val="24"/>
          <w:szCs w:val="24"/>
        </w:rPr>
        <w:t>On Behalf of Cyprus Amax Minerals Company</w:t>
      </w:r>
    </w:p>
    <w:p w:rsidR="007528BA" w:rsidRPr="00234764" w:rsidRDefault="007528BA" w:rsidP="007528BA">
      <w:pPr>
        <w:pStyle w:val="NoSpacing"/>
        <w:rPr>
          <w:sz w:val="24"/>
          <w:szCs w:val="24"/>
        </w:rPr>
      </w:pPr>
      <w:r w:rsidRPr="00234764">
        <w:rPr>
          <w:sz w:val="24"/>
          <w:szCs w:val="24"/>
        </w:rPr>
        <w:t>333 N. Central Avenue</w:t>
      </w:r>
    </w:p>
    <w:p w:rsidR="007528BA" w:rsidRDefault="007528BA" w:rsidP="007528BA">
      <w:pPr>
        <w:pStyle w:val="NoSpacing"/>
        <w:rPr>
          <w:sz w:val="24"/>
          <w:szCs w:val="24"/>
        </w:rPr>
      </w:pPr>
      <w:r w:rsidRPr="00234764">
        <w:rPr>
          <w:sz w:val="24"/>
          <w:szCs w:val="24"/>
        </w:rPr>
        <w:t>Phoenix, AZ 85004</w:t>
      </w:r>
    </w:p>
    <w:p w:rsidR="007679EE" w:rsidRPr="00234764" w:rsidRDefault="007679EE" w:rsidP="007528BA">
      <w:pPr>
        <w:pStyle w:val="NoSpacing"/>
        <w:rPr>
          <w:sz w:val="24"/>
          <w:szCs w:val="24"/>
        </w:rPr>
      </w:pPr>
    </w:p>
    <w:p w:rsidR="007528BA" w:rsidRPr="00234764" w:rsidRDefault="007528BA" w:rsidP="007528BA">
      <w:pPr>
        <w:rPr>
          <w:sz w:val="24"/>
          <w:szCs w:val="24"/>
        </w:rPr>
      </w:pPr>
    </w:p>
    <w:p w:rsidR="007579D0" w:rsidRDefault="007528BA" w:rsidP="00FA6AA2">
      <w:pPr>
        <w:pStyle w:val="NoSpacing"/>
        <w:ind w:left="360" w:hanging="360"/>
        <w:rPr>
          <w:b/>
          <w:sz w:val="24"/>
          <w:szCs w:val="24"/>
        </w:rPr>
      </w:pPr>
      <w:r w:rsidRPr="00234764">
        <w:rPr>
          <w:sz w:val="24"/>
          <w:szCs w:val="24"/>
        </w:rPr>
        <w:t xml:space="preserve">RE: </w:t>
      </w:r>
      <w:r w:rsidR="005C0AC4">
        <w:rPr>
          <w:sz w:val="24"/>
          <w:szCs w:val="24"/>
        </w:rPr>
        <w:t>Addendum No. 2</w:t>
      </w:r>
      <w:r w:rsidR="006A502C">
        <w:rPr>
          <w:sz w:val="24"/>
          <w:szCs w:val="24"/>
        </w:rPr>
        <w:t xml:space="preserve"> to the Preliminary Evaluation Report and Remedial Investigation/Feasibility Study Workplan for the Former Satralloy Site. </w:t>
      </w:r>
    </w:p>
    <w:p w:rsidR="00234764" w:rsidRPr="00234764" w:rsidRDefault="00234764" w:rsidP="00234764">
      <w:pPr>
        <w:pStyle w:val="NoSpacing"/>
        <w:ind w:left="360"/>
        <w:rPr>
          <w:b/>
          <w:sz w:val="24"/>
          <w:szCs w:val="24"/>
        </w:rPr>
      </w:pPr>
    </w:p>
    <w:p w:rsidR="007528BA" w:rsidRPr="00605E2C" w:rsidRDefault="007528BA" w:rsidP="007528BA">
      <w:r w:rsidRPr="00605E2C">
        <w:t>Ms. Nielson,</w:t>
      </w:r>
    </w:p>
    <w:p w:rsidR="00264FC5" w:rsidRDefault="0006378E" w:rsidP="00996E96">
      <w:pPr>
        <w:pStyle w:val="NoSpacing"/>
      </w:pPr>
      <w:r>
        <w:t xml:space="preserve">I </w:t>
      </w:r>
      <w:r w:rsidRPr="006A502C">
        <w:t xml:space="preserve">received </w:t>
      </w:r>
      <w:r w:rsidR="006A502C">
        <w:t>Add</w:t>
      </w:r>
      <w:r w:rsidR="00FA6AA2" w:rsidRPr="006A502C">
        <w:t>end</w:t>
      </w:r>
      <w:r w:rsidR="006A502C">
        <w:t>um</w:t>
      </w:r>
      <w:r w:rsidR="00FA6AA2" w:rsidRPr="006A502C">
        <w:t xml:space="preserve"> No. </w:t>
      </w:r>
      <w:r w:rsidR="006A502C" w:rsidRPr="006A502C">
        <w:t>2</w:t>
      </w:r>
      <w:r w:rsidR="00FA6AA2" w:rsidRPr="006A502C">
        <w:t xml:space="preserve"> to the </w:t>
      </w:r>
      <w:r w:rsidR="006A502C" w:rsidRPr="006A502C">
        <w:t>Preliminary Evaluation Report and Reme</w:t>
      </w:r>
      <w:r w:rsidR="006A502C">
        <w:t xml:space="preserve">dial Investigation/Feasibility </w:t>
      </w:r>
      <w:r w:rsidR="006A502C" w:rsidRPr="006A502C">
        <w:t xml:space="preserve">Study Workplan for the former Satralloy Site </w:t>
      </w:r>
      <w:r w:rsidR="00FA6AA2" w:rsidRPr="006A502C">
        <w:t>(Site)</w:t>
      </w:r>
      <w:r w:rsidR="00C71904" w:rsidRPr="006A502C">
        <w:t xml:space="preserve"> on March 4, 2</w:t>
      </w:r>
      <w:r w:rsidR="00C71904">
        <w:t xml:space="preserve">014.  </w:t>
      </w:r>
      <w:r w:rsidR="00FA6AA2">
        <w:t>T</w:t>
      </w:r>
      <w:r w:rsidR="006A502C">
        <w:t xml:space="preserve">his Addendum requested approval of a sampling and analytical approach to sampling dust that will be placed in the Dust Staging Area. </w:t>
      </w:r>
      <w:r w:rsidR="004A20FE">
        <w:t>I have the following questions/comments and suggested additions to the sampling and analysis plan contained within Addendum No. 2.</w:t>
      </w:r>
    </w:p>
    <w:p w:rsidR="004A20FE" w:rsidRDefault="004A20FE" w:rsidP="00996E96">
      <w:pPr>
        <w:pStyle w:val="NoSpacing"/>
      </w:pPr>
    </w:p>
    <w:p w:rsidR="0047346B" w:rsidRDefault="0047346B" w:rsidP="004A20FE">
      <w:pPr>
        <w:pStyle w:val="NoSpacing"/>
        <w:numPr>
          <w:ilvl w:val="0"/>
          <w:numId w:val="1"/>
        </w:numPr>
      </w:pPr>
      <w:r>
        <w:t>Section 1.2 Scope and Objectives.  The scope for this sampling and analysis plan is stated to determine the appropriate disposition of the dust as part of the Site remedy.  Since the appropriate disposition could include removal, wouldn’t a determination of the waste’s characteristic of toxicity be appropriate?  I</w:t>
      </w:r>
      <w:r w:rsidR="00AF27ED">
        <w:t xml:space="preserve">f so, additional provisions </w:t>
      </w:r>
      <w:r>
        <w:t xml:space="preserve">TCLP analysis </w:t>
      </w:r>
      <w:r w:rsidR="00AF27ED">
        <w:t>should be included in the sampling and analysis plan.</w:t>
      </w:r>
    </w:p>
    <w:p w:rsidR="006A502C" w:rsidRDefault="004A20FE" w:rsidP="00996E96">
      <w:pPr>
        <w:pStyle w:val="NoSpacing"/>
        <w:numPr>
          <w:ilvl w:val="0"/>
          <w:numId w:val="1"/>
        </w:numPr>
      </w:pPr>
      <w:r>
        <w:t>Section 2.1 Grab Sample</w:t>
      </w:r>
      <w:r w:rsidR="0047346B">
        <w:t>s</w:t>
      </w:r>
      <w:r w:rsidR="00776E5C">
        <w:t xml:space="preserve">.  Please include a </w:t>
      </w:r>
      <w:r>
        <w:t>description of the sampling device(s) and methods used to take grab samples</w:t>
      </w:r>
      <w:r w:rsidR="00776E5C">
        <w:t xml:space="preserve"> as the sacks are filled</w:t>
      </w:r>
      <w:r>
        <w:t xml:space="preserve">.  </w:t>
      </w:r>
    </w:p>
    <w:p w:rsidR="004A20FE" w:rsidRDefault="0047346B" w:rsidP="00996E96">
      <w:pPr>
        <w:pStyle w:val="NoSpacing"/>
        <w:numPr>
          <w:ilvl w:val="0"/>
          <w:numId w:val="1"/>
        </w:numPr>
      </w:pPr>
      <w:r>
        <w:t>Section 2.2 Composite S</w:t>
      </w:r>
      <w:r w:rsidR="00776E5C">
        <w:t xml:space="preserve">amples.  Please include a description of the compositing process.  Include how each 1 gram grab sample will be acquired (to assure consistent weight or volume) and how each composite will be mixed to assure homogeneity. </w:t>
      </w:r>
    </w:p>
    <w:p w:rsidR="00AF27ED" w:rsidRDefault="00AF27ED" w:rsidP="00996E96">
      <w:pPr>
        <w:pStyle w:val="NoSpacing"/>
        <w:numPr>
          <w:ilvl w:val="0"/>
          <w:numId w:val="1"/>
        </w:numPr>
      </w:pPr>
      <w:r>
        <w:t>Section 2.2 Composite Samples. How will laboratory sub-sampling be performed for each composite sample?</w:t>
      </w:r>
    </w:p>
    <w:p w:rsidR="00776E5C" w:rsidRDefault="00776E5C" w:rsidP="00996E96">
      <w:pPr>
        <w:pStyle w:val="NoSpacing"/>
        <w:numPr>
          <w:ilvl w:val="0"/>
          <w:numId w:val="1"/>
        </w:numPr>
      </w:pPr>
      <w:r>
        <w:t xml:space="preserve">Section 2.3 Quality Control.  Duplicate grab samples are proposed to be taken at a 10% frequency; however, the text does not describe how these grab samples will be used and nor propose what criteria will be used for assessment of precision.  </w:t>
      </w:r>
      <w:r w:rsidR="0047346B">
        <w:t>Please revise this section to include this information.</w:t>
      </w:r>
    </w:p>
    <w:p w:rsidR="0047346B" w:rsidRDefault="0047346B" w:rsidP="00996E96">
      <w:pPr>
        <w:pStyle w:val="NoSpacing"/>
        <w:numPr>
          <w:ilvl w:val="0"/>
          <w:numId w:val="1"/>
        </w:numPr>
      </w:pPr>
      <w:r>
        <w:t xml:space="preserve">Section 2.3 Quality Control.  This section does not describe any quality control measures for composite sampling.  Since the characterization of dust for each </w:t>
      </w:r>
      <w:r w:rsidR="00AF27ED">
        <w:t xml:space="preserve">area is proposed from a single composite sample, it is important to verify that the sampling procedures are representative of </w:t>
      </w:r>
      <w:r w:rsidR="00723DB9">
        <w:t>each area.  A composite from t</w:t>
      </w:r>
      <w:r w:rsidR="00AF27ED">
        <w:t>w</w:t>
      </w:r>
      <w:r w:rsidR="00723DB9">
        <w:t>o</w:t>
      </w:r>
      <w:r w:rsidR="00AF27ED">
        <w:t xml:space="preserve"> of the proposed areas</w:t>
      </w:r>
      <w:r w:rsidR="00723DB9">
        <w:t xml:space="preserve"> undergoing characterization should </w:t>
      </w:r>
      <w:r w:rsidR="00AF27ED">
        <w:t xml:space="preserve">be duplicated.  The acceptance criterion </w:t>
      </w:r>
      <w:r w:rsidR="00723DB9">
        <w:t xml:space="preserve">that Ohio EPA commonly uses for composite duplicates is </w:t>
      </w:r>
      <w:r w:rsidR="00AF27ED">
        <w:t xml:space="preserve">15% difference </w:t>
      </w:r>
      <w:r w:rsidR="00723DB9">
        <w:t>relative percent difference</w:t>
      </w:r>
      <w:r w:rsidR="00AF27ED">
        <w:t xml:space="preserve">.  If </w:t>
      </w:r>
      <w:r w:rsidR="00AF27ED">
        <w:lastRenderedPageBreak/>
        <w:t xml:space="preserve">the criteria is not met, then additional grab samples should be analyzed to assess heterogeneity within the dust for each area. </w:t>
      </w:r>
    </w:p>
    <w:p w:rsidR="006A502C" w:rsidRDefault="000446AD" w:rsidP="00996E96">
      <w:pPr>
        <w:pStyle w:val="NoSpacing"/>
        <w:numPr>
          <w:ilvl w:val="0"/>
          <w:numId w:val="1"/>
        </w:numPr>
      </w:pPr>
      <w:r>
        <w:t>Section 3.0 Analysis.   The current method for TAL metals is 6010C not 6010B.</w:t>
      </w:r>
    </w:p>
    <w:p w:rsidR="000446AD" w:rsidRDefault="000446AD" w:rsidP="00996E96">
      <w:pPr>
        <w:pStyle w:val="NoSpacing"/>
        <w:numPr>
          <w:ilvl w:val="0"/>
          <w:numId w:val="1"/>
        </w:numPr>
      </w:pPr>
      <w:r>
        <w:t>Section 3.0 Analysis.   It should be stipulated that hexavalent chromium will be prepared using SW-846 3060A.  The preparation method stipulates the measurement of ORP as well as pH.  The total holding time for hexavalent chromium of 28 days is acceptable if the samples are maintained on ice</w:t>
      </w:r>
      <w:r w:rsidR="00440E7A">
        <w:t xml:space="preserve"> or chilled in the laboratory</w:t>
      </w:r>
      <w:r>
        <w:t>.  SW-846 Method 3060A requires that the laboratory has a technical holding time requirement of analyzing the sample within 24 hours after preparation.  These changes should be incorporated into this section.</w:t>
      </w:r>
    </w:p>
    <w:p w:rsidR="000446AD" w:rsidRDefault="000446AD" w:rsidP="00996E96">
      <w:pPr>
        <w:pStyle w:val="NoSpacing"/>
        <w:numPr>
          <w:ilvl w:val="0"/>
          <w:numId w:val="1"/>
        </w:numPr>
      </w:pPr>
      <w:r>
        <w:t xml:space="preserve">Section 3.0 Analysis.   </w:t>
      </w:r>
      <w:r w:rsidR="00440E7A">
        <w:t>SW-846 Method 7199A is a method commonly used for water samples.  Please explain its use for the dust samples.</w:t>
      </w:r>
    </w:p>
    <w:p w:rsidR="00440E7A" w:rsidRDefault="00440E7A" w:rsidP="00996E96">
      <w:pPr>
        <w:pStyle w:val="NoSpacing"/>
        <w:numPr>
          <w:ilvl w:val="0"/>
          <w:numId w:val="1"/>
        </w:numPr>
      </w:pPr>
      <w:r>
        <w:t>Section 3.0 Analysis.   p</w:t>
      </w:r>
      <w:r w:rsidR="005463F9">
        <w:t>H measurement is designated as</w:t>
      </w:r>
      <w:r>
        <w:t xml:space="preserve"> EPA 150 which is a water method.  The appropriate soil or waste method is by SW-846 Method 9045D.  Please update the table.</w:t>
      </w:r>
    </w:p>
    <w:p w:rsidR="00440E7A" w:rsidRDefault="00440E7A" w:rsidP="00440E7A">
      <w:pPr>
        <w:pStyle w:val="NoSpacing"/>
        <w:ind w:left="720"/>
      </w:pPr>
    </w:p>
    <w:p w:rsidR="00605E2C" w:rsidRDefault="00440E7A" w:rsidP="00996E96">
      <w:pPr>
        <w:pStyle w:val="NoSpacing"/>
      </w:pPr>
      <w:r>
        <w:t xml:space="preserve">Please look over the comments and contact me with any questions that you might have.  </w:t>
      </w:r>
    </w:p>
    <w:p w:rsidR="00440E7A" w:rsidRDefault="00440E7A" w:rsidP="00996E96">
      <w:pPr>
        <w:pStyle w:val="NoSpacing"/>
      </w:pPr>
    </w:p>
    <w:p w:rsidR="00440E7A" w:rsidRDefault="00440E7A" w:rsidP="00996E96">
      <w:pPr>
        <w:pStyle w:val="NoSpacing"/>
      </w:pPr>
    </w:p>
    <w:p w:rsidR="00605E2C" w:rsidRDefault="00605E2C" w:rsidP="00996E96">
      <w:pPr>
        <w:pStyle w:val="NoSpacing"/>
      </w:pPr>
      <w:r>
        <w:t>Sincerely</w:t>
      </w:r>
    </w:p>
    <w:p w:rsidR="00605E2C" w:rsidRDefault="00605E2C" w:rsidP="00996E96">
      <w:pPr>
        <w:pStyle w:val="NoSpacing"/>
      </w:pPr>
    </w:p>
    <w:p w:rsidR="00605E2C" w:rsidRDefault="00605E2C" w:rsidP="00996E96">
      <w:pPr>
        <w:pStyle w:val="NoSpacing"/>
      </w:pPr>
    </w:p>
    <w:p w:rsidR="00605E2C" w:rsidRDefault="00605E2C" w:rsidP="00996E96">
      <w:pPr>
        <w:pStyle w:val="NoSpacing"/>
      </w:pPr>
    </w:p>
    <w:p w:rsidR="00605E2C" w:rsidRDefault="00605E2C" w:rsidP="00996E96">
      <w:pPr>
        <w:pStyle w:val="NoSpacing"/>
      </w:pPr>
      <w:r>
        <w:t>Erik Hagen, Ph.D.</w:t>
      </w:r>
    </w:p>
    <w:p w:rsidR="00605E2C" w:rsidRDefault="00605E2C" w:rsidP="00996E96">
      <w:pPr>
        <w:pStyle w:val="NoSpacing"/>
      </w:pPr>
      <w:r>
        <w:t>Site Coordinator</w:t>
      </w:r>
    </w:p>
    <w:p w:rsidR="00605E2C" w:rsidRDefault="00605E2C" w:rsidP="00996E96">
      <w:pPr>
        <w:pStyle w:val="NoSpacing"/>
      </w:pPr>
      <w:r>
        <w:t>Ohio EPA, Division of Environmental Response and Revitalization</w:t>
      </w:r>
    </w:p>
    <w:p w:rsidR="00605E2C" w:rsidRDefault="00605E2C" w:rsidP="00996E96">
      <w:pPr>
        <w:pStyle w:val="NoSpacing"/>
      </w:pPr>
    </w:p>
    <w:p w:rsidR="00605E2C" w:rsidRDefault="00605E2C" w:rsidP="00996E96">
      <w:pPr>
        <w:pStyle w:val="NoSpacing"/>
      </w:pPr>
    </w:p>
    <w:p w:rsidR="00605E2C" w:rsidRPr="00234764" w:rsidRDefault="00605E2C" w:rsidP="00996E96">
      <w:pPr>
        <w:pStyle w:val="NoSpacing"/>
      </w:pPr>
      <w:r>
        <w:tab/>
      </w:r>
    </w:p>
    <w:sectPr w:rsidR="00605E2C" w:rsidRPr="00234764" w:rsidSect="008B05E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80A" w:rsidRDefault="009B280A" w:rsidP="00B33395">
      <w:pPr>
        <w:spacing w:after="0" w:line="240" w:lineRule="auto"/>
      </w:pPr>
      <w:r>
        <w:separator/>
      </w:r>
    </w:p>
  </w:endnote>
  <w:endnote w:type="continuationSeparator" w:id="0">
    <w:p w:rsidR="009B280A" w:rsidRDefault="009B280A" w:rsidP="00B33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6B" w:rsidRDefault="00734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4AD" w:rsidRPr="00440095" w:rsidRDefault="001B44AD" w:rsidP="00ED779E">
    <w:pPr>
      <w:pStyle w:val="Footer"/>
      <w:ind w:left="2016"/>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6B" w:rsidRDefault="00734E6B" w:rsidP="00734E6B">
    <w:pPr>
      <w:pStyle w:val="Footer"/>
      <w:spacing w:before="240" w:line="220" w:lineRule="exact"/>
      <w:ind w:left="115"/>
      <w:jc w:val="center"/>
      <w:rPr>
        <w:color w:val="0046AD"/>
        <w:sz w:val="18"/>
        <w:szCs w:val="18"/>
      </w:rPr>
    </w:pPr>
    <w:r>
      <w:rPr>
        <w:color w:val="0046AD"/>
        <w:sz w:val="18"/>
        <w:szCs w:val="18"/>
      </w:rPr>
      <w:t>50 West Town Street</w:t>
    </w:r>
    <w:r>
      <w:rPr>
        <w:rFonts w:cs="Calibri"/>
        <w:color w:val="0046AD"/>
        <w:sz w:val="18"/>
        <w:szCs w:val="18"/>
      </w:rPr>
      <w:t xml:space="preserve"> • </w:t>
    </w:r>
    <w:r>
      <w:rPr>
        <w:color w:val="0046AD"/>
        <w:sz w:val="18"/>
        <w:szCs w:val="18"/>
      </w:rPr>
      <w:t>Suite 700</w:t>
    </w:r>
    <w:r>
      <w:rPr>
        <w:rFonts w:cs="Calibri"/>
        <w:color w:val="0046AD"/>
        <w:sz w:val="18"/>
        <w:szCs w:val="18"/>
      </w:rPr>
      <w:t xml:space="preserve"> • </w:t>
    </w:r>
    <w:r>
      <w:rPr>
        <w:color w:val="0046AD"/>
        <w:sz w:val="18"/>
        <w:szCs w:val="18"/>
      </w:rPr>
      <w:t>P.O. Box 1049</w:t>
    </w:r>
    <w:r>
      <w:rPr>
        <w:rFonts w:cs="Calibri"/>
        <w:color w:val="0046AD"/>
        <w:sz w:val="18"/>
        <w:szCs w:val="18"/>
      </w:rPr>
      <w:t xml:space="preserve"> • </w:t>
    </w:r>
    <w:r>
      <w:rPr>
        <w:color w:val="0046AD"/>
        <w:sz w:val="18"/>
        <w:szCs w:val="18"/>
      </w:rPr>
      <w:t>Columbus, OH 43216-1049</w:t>
    </w:r>
  </w:p>
  <w:p w:rsidR="00570B14" w:rsidRPr="00734E6B" w:rsidRDefault="00734E6B" w:rsidP="00734E6B">
    <w:pPr>
      <w:pStyle w:val="Footer"/>
      <w:spacing w:line="220" w:lineRule="exact"/>
      <w:ind w:left="110"/>
      <w:jc w:val="center"/>
      <w:rPr>
        <w:color w:val="0046AD"/>
        <w:sz w:val="18"/>
        <w:szCs w:val="18"/>
      </w:rPr>
    </w:pPr>
    <w:r>
      <w:rPr>
        <w:color w:val="0046AD"/>
        <w:sz w:val="18"/>
        <w:szCs w:val="18"/>
      </w:rPr>
      <w:t>www.epa.ohio.gov</w:t>
    </w:r>
    <w:r>
      <w:rPr>
        <w:rFonts w:cs="Calibri"/>
        <w:color w:val="0046AD"/>
        <w:sz w:val="18"/>
        <w:szCs w:val="18"/>
      </w:rPr>
      <w:t xml:space="preserve"> • </w:t>
    </w:r>
    <w:r>
      <w:rPr>
        <w:color w:val="0046AD"/>
        <w:sz w:val="18"/>
        <w:szCs w:val="18"/>
      </w:rPr>
      <w:t>(614) 644-3020</w:t>
    </w:r>
    <w:r>
      <w:rPr>
        <w:rFonts w:cs="Calibri"/>
        <w:color w:val="0046AD"/>
        <w:sz w:val="18"/>
        <w:szCs w:val="18"/>
      </w:rPr>
      <w:t xml:space="preserve"> • </w:t>
    </w:r>
    <w:r>
      <w:rPr>
        <w:color w:val="0046AD"/>
        <w:sz w:val="18"/>
        <w:szCs w:val="18"/>
      </w:rPr>
      <w:t>(614) 644-3184 (fax)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80A" w:rsidRDefault="009B280A" w:rsidP="00B33395">
      <w:pPr>
        <w:spacing w:after="0" w:line="240" w:lineRule="auto"/>
      </w:pPr>
      <w:r>
        <w:separator/>
      </w:r>
    </w:p>
  </w:footnote>
  <w:footnote w:type="continuationSeparator" w:id="0">
    <w:p w:rsidR="009B280A" w:rsidRDefault="009B280A" w:rsidP="00B33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6B" w:rsidRDefault="00734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4AD" w:rsidRDefault="006B5EFF" w:rsidP="006B5EFF">
    <w:pPr>
      <w:pStyle w:val="Header"/>
      <w:tabs>
        <w:tab w:val="clear" w:pos="4680"/>
        <w:tab w:val="clear" w:pos="9360"/>
        <w:tab w:val="left" w:pos="5205"/>
      </w:tabs>
      <w:ind w:left="2160"/>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B8" w:rsidRDefault="00B77670" w:rsidP="00FB3602">
    <w:pPr>
      <w:pStyle w:val="Header"/>
      <w:spacing w:before="1400" w:line="200" w:lineRule="exact"/>
      <w:ind w:left="504"/>
      <w:rPr>
        <w:color w:val="0046AD"/>
        <w:sz w:val="16"/>
        <w:szCs w:val="16"/>
      </w:rPr>
    </w:pPr>
    <w:r>
      <w:rPr>
        <w:noProof/>
      </w:rPr>
      <w:drawing>
        <wp:anchor distT="0" distB="640080" distL="0" distR="114300" simplePos="0" relativeHeight="251658240" behindDoc="1" locked="1" layoutInCell="1" allowOverlap="0" wp14:anchorId="364CD3C9" wp14:editId="3C658659">
          <wp:simplePos x="0" y="0"/>
          <wp:positionH relativeFrom="insideMargin">
            <wp:posOffset>509905</wp:posOffset>
          </wp:positionH>
          <wp:positionV relativeFrom="page">
            <wp:posOffset>361950</wp:posOffset>
          </wp:positionV>
          <wp:extent cx="2235200" cy="950595"/>
          <wp:effectExtent l="0" t="0" r="0" b="1905"/>
          <wp:wrapThrough wrapText="bothSides">
            <wp:wrapPolygon edited="0">
              <wp:start x="0" y="0"/>
              <wp:lineTo x="0" y="21210"/>
              <wp:lineTo x="21355" y="21210"/>
              <wp:lineTo x="2135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0yrs_colo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35200" cy="950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43B8" w:rsidRPr="0026025D">
      <w:rPr>
        <w:b/>
        <w:color w:val="0046AD"/>
        <w:sz w:val="16"/>
        <w:szCs w:val="16"/>
      </w:rPr>
      <w:t>John R. Kasich</w:t>
    </w:r>
    <w:r w:rsidR="007D43B8" w:rsidRPr="0026025D">
      <w:rPr>
        <w:color w:val="0046AD"/>
        <w:sz w:val="16"/>
        <w:szCs w:val="16"/>
      </w:rPr>
      <w:t>, Governor</w:t>
    </w:r>
  </w:p>
  <w:p w:rsidR="00E83AB7" w:rsidRPr="00E83AB7" w:rsidRDefault="00E83AB7" w:rsidP="00FB3602">
    <w:pPr>
      <w:pStyle w:val="Header"/>
      <w:spacing w:line="200" w:lineRule="exact"/>
      <w:ind w:left="504"/>
      <w:rPr>
        <w:color w:val="0046AD"/>
        <w:sz w:val="16"/>
        <w:szCs w:val="16"/>
      </w:rPr>
    </w:pPr>
    <w:r>
      <w:rPr>
        <w:b/>
        <w:color w:val="0046AD"/>
        <w:sz w:val="16"/>
        <w:szCs w:val="16"/>
      </w:rPr>
      <w:t>Mary Taylor</w:t>
    </w:r>
    <w:r>
      <w:rPr>
        <w:color w:val="0046AD"/>
        <w:sz w:val="16"/>
        <w:szCs w:val="16"/>
      </w:rPr>
      <w:t>, Lt. Governor</w:t>
    </w:r>
  </w:p>
  <w:p w:rsidR="00570B14" w:rsidRDefault="00D13B0C" w:rsidP="00FB3602">
    <w:pPr>
      <w:pStyle w:val="Header"/>
      <w:spacing w:after="360" w:line="200" w:lineRule="exact"/>
      <w:ind w:left="504"/>
    </w:pPr>
    <w:r>
      <w:rPr>
        <w:b/>
        <w:color w:val="0046AD"/>
        <w:sz w:val="16"/>
        <w:szCs w:val="16"/>
      </w:rPr>
      <w:t>Craig W. Butler</w:t>
    </w:r>
    <w:r w:rsidR="007D43B8" w:rsidRPr="0026025D">
      <w:rPr>
        <w:color w:val="0046AD"/>
        <w:sz w:val="16"/>
        <w:szCs w:val="16"/>
      </w:rPr>
      <w:t xml:space="preserve">, </w:t>
    </w:r>
    <w:r>
      <w:rPr>
        <w:color w:val="0046AD"/>
        <w:sz w:val="16"/>
        <w:szCs w:val="16"/>
      </w:rPr>
      <w:t xml:space="preserve">Interim </w:t>
    </w:r>
    <w:r w:rsidR="007D43B8" w:rsidRPr="0026025D">
      <w:rPr>
        <w:color w:val="0046AD"/>
        <w:sz w:val="16"/>
        <w:szCs w:val="16"/>
      </w:rPr>
      <w:t>Director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3B7"/>
    <w:multiLevelType w:val="hybridMultilevel"/>
    <w:tmpl w:val="754A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28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45B"/>
    <w:rsid w:val="000446AD"/>
    <w:rsid w:val="00061046"/>
    <w:rsid w:val="0006378E"/>
    <w:rsid w:val="000F59CE"/>
    <w:rsid w:val="001A3876"/>
    <w:rsid w:val="001B44AD"/>
    <w:rsid w:val="001E64D6"/>
    <w:rsid w:val="001F53B2"/>
    <w:rsid w:val="00201CDF"/>
    <w:rsid w:val="00234764"/>
    <w:rsid w:val="0024456D"/>
    <w:rsid w:val="00245403"/>
    <w:rsid w:val="0026025D"/>
    <w:rsid w:val="00264FC5"/>
    <w:rsid w:val="0027393D"/>
    <w:rsid w:val="00294E00"/>
    <w:rsid w:val="002D34EA"/>
    <w:rsid w:val="00301112"/>
    <w:rsid w:val="003259E4"/>
    <w:rsid w:val="003A2682"/>
    <w:rsid w:val="0040690C"/>
    <w:rsid w:val="0042745B"/>
    <w:rsid w:val="00440095"/>
    <w:rsid w:val="00440E7A"/>
    <w:rsid w:val="00472545"/>
    <w:rsid w:val="0047346B"/>
    <w:rsid w:val="004A20FE"/>
    <w:rsid w:val="004A3D70"/>
    <w:rsid w:val="004B2B4F"/>
    <w:rsid w:val="00502103"/>
    <w:rsid w:val="005463F9"/>
    <w:rsid w:val="00560517"/>
    <w:rsid w:val="005624F6"/>
    <w:rsid w:val="00570B14"/>
    <w:rsid w:val="005C0AC4"/>
    <w:rsid w:val="005D5B8D"/>
    <w:rsid w:val="005E6066"/>
    <w:rsid w:val="005E6D82"/>
    <w:rsid w:val="005F191D"/>
    <w:rsid w:val="00605E2C"/>
    <w:rsid w:val="0061582D"/>
    <w:rsid w:val="006422DD"/>
    <w:rsid w:val="006467B3"/>
    <w:rsid w:val="0067088C"/>
    <w:rsid w:val="00690BE1"/>
    <w:rsid w:val="006A502C"/>
    <w:rsid w:val="006B5EFF"/>
    <w:rsid w:val="006E08A9"/>
    <w:rsid w:val="00720D1E"/>
    <w:rsid w:val="00723DB9"/>
    <w:rsid w:val="00734E6B"/>
    <w:rsid w:val="007528BA"/>
    <w:rsid w:val="007579D0"/>
    <w:rsid w:val="007679EE"/>
    <w:rsid w:val="00776E5C"/>
    <w:rsid w:val="007848F6"/>
    <w:rsid w:val="007874B5"/>
    <w:rsid w:val="007B29F0"/>
    <w:rsid w:val="007D43B8"/>
    <w:rsid w:val="00804C78"/>
    <w:rsid w:val="00816508"/>
    <w:rsid w:val="00827B8D"/>
    <w:rsid w:val="0085339C"/>
    <w:rsid w:val="008B05EE"/>
    <w:rsid w:val="008C3C42"/>
    <w:rsid w:val="008C70A9"/>
    <w:rsid w:val="009623A9"/>
    <w:rsid w:val="00996E96"/>
    <w:rsid w:val="009B280A"/>
    <w:rsid w:val="009B4537"/>
    <w:rsid w:val="009C466D"/>
    <w:rsid w:val="009C47B0"/>
    <w:rsid w:val="00A15236"/>
    <w:rsid w:val="00A82DCD"/>
    <w:rsid w:val="00AC0152"/>
    <w:rsid w:val="00AF27ED"/>
    <w:rsid w:val="00B16665"/>
    <w:rsid w:val="00B17E79"/>
    <w:rsid w:val="00B33395"/>
    <w:rsid w:val="00B4599D"/>
    <w:rsid w:val="00B77670"/>
    <w:rsid w:val="00B80AF1"/>
    <w:rsid w:val="00B86147"/>
    <w:rsid w:val="00B97E45"/>
    <w:rsid w:val="00BF47F1"/>
    <w:rsid w:val="00C32B18"/>
    <w:rsid w:val="00C71904"/>
    <w:rsid w:val="00CC5938"/>
    <w:rsid w:val="00CE6FD2"/>
    <w:rsid w:val="00D13B0C"/>
    <w:rsid w:val="00D21FE7"/>
    <w:rsid w:val="00D51E9A"/>
    <w:rsid w:val="00D57E2E"/>
    <w:rsid w:val="00D971EA"/>
    <w:rsid w:val="00DA2B82"/>
    <w:rsid w:val="00DA6C42"/>
    <w:rsid w:val="00DB617E"/>
    <w:rsid w:val="00E06061"/>
    <w:rsid w:val="00E11D7A"/>
    <w:rsid w:val="00E670B3"/>
    <w:rsid w:val="00E83AB7"/>
    <w:rsid w:val="00EB5959"/>
    <w:rsid w:val="00ED779E"/>
    <w:rsid w:val="00EF4E8A"/>
    <w:rsid w:val="00F85F37"/>
    <w:rsid w:val="00FA6AA2"/>
    <w:rsid w:val="00FA7AC0"/>
    <w:rsid w:val="00FB3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3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53B2"/>
    <w:rPr>
      <w:rFonts w:ascii="Tahoma" w:hAnsi="Tahoma" w:cs="Tahoma"/>
      <w:sz w:val="16"/>
      <w:szCs w:val="16"/>
    </w:rPr>
  </w:style>
  <w:style w:type="paragraph" w:styleId="Header">
    <w:name w:val="header"/>
    <w:basedOn w:val="Normal"/>
    <w:link w:val="HeaderChar"/>
    <w:uiPriority w:val="99"/>
    <w:unhideWhenUsed/>
    <w:rsid w:val="00B33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395"/>
  </w:style>
  <w:style w:type="paragraph" w:styleId="Footer">
    <w:name w:val="footer"/>
    <w:basedOn w:val="Normal"/>
    <w:link w:val="FooterChar"/>
    <w:uiPriority w:val="99"/>
    <w:unhideWhenUsed/>
    <w:rsid w:val="00B33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395"/>
  </w:style>
  <w:style w:type="character" w:styleId="PlaceholderText">
    <w:name w:val="Placeholder Text"/>
    <w:uiPriority w:val="99"/>
    <w:semiHidden/>
    <w:rsid w:val="00E06061"/>
    <w:rPr>
      <w:color w:val="808080"/>
    </w:rPr>
  </w:style>
  <w:style w:type="paragraph" w:styleId="NoSpacing">
    <w:name w:val="No Spacing"/>
    <w:uiPriority w:val="1"/>
    <w:qFormat/>
    <w:rsid w:val="007528B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3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3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F53B2"/>
    <w:rPr>
      <w:rFonts w:ascii="Tahoma" w:hAnsi="Tahoma" w:cs="Tahoma"/>
      <w:sz w:val="16"/>
      <w:szCs w:val="16"/>
    </w:rPr>
  </w:style>
  <w:style w:type="paragraph" w:styleId="Header">
    <w:name w:val="header"/>
    <w:basedOn w:val="Normal"/>
    <w:link w:val="HeaderChar"/>
    <w:uiPriority w:val="99"/>
    <w:unhideWhenUsed/>
    <w:rsid w:val="00B33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395"/>
  </w:style>
  <w:style w:type="paragraph" w:styleId="Footer">
    <w:name w:val="footer"/>
    <w:basedOn w:val="Normal"/>
    <w:link w:val="FooterChar"/>
    <w:uiPriority w:val="99"/>
    <w:unhideWhenUsed/>
    <w:rsid w:val="00B33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395"/>
  </w:style>
  <w:style w:type="character" w:styleId="PlaceholderText">
    <w:name w:val="Placeholder Text"/>
    <w:uiPriority w:val="99"/>
    <w:semiHidden/>
    <w:rsid w:val="00E06061"/>
    <w:rPr>
      <w:color w:val="808080"/>
    </w:rPr>
  </w:style>
  <w:style w:type="paragraph" w:styleId="NoSpacing">
    <w:name w:val="No Spacing"/>
    <w:uiPriority w:val="1"/>
    <w:qFormat/>
    <w:rsid w:val="007528B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23993">
      <w:bodyDiv w:val="1"/>
      <w:marLeft w:val="0"/>
      <w:marRight w:val="0"/>
      <w:marTop w:val="0"/>
      <w:marBottom w:val="0"/>
      <w:divBdr>
        <w:top w:val="none" w:sz="0" w:space="0" w:color="auto"/>
        <w:left w:val="none" w:sz="0" w:space="0" w:color="auto"/>
        <w:bottom w:val="none" w:sz="0" w:space="0" w:color="auto"/>
        <w:right w:val="none" w:sz="0" w:space="0" w:color="auto"/>
      </w:divBdr>
    </w:div>
    <w:div w:id="129327533">
      <w:bodyDiv w:val="1"/>
      <w:marLeft w:val="0"/>
      <w:marRight w:val="0"/>
      <w:marTop w:val="0"/>
      <w:marBottom w:val="0"/>
      <w:divBdr>
        <w:top w:val="none" w:sz="0" w:space="0" w:color="auto"/>
        <w:left w:val="none" w:sz="0" w:space="0" w:color="auto"/>
        <w:bottom w:val="none" w:sz="0" w:space="0" w:color="auto"/>
        <w:right w:val="none" w:sz="0" w:space="0" w:color="auto"/>
      </w:divBdr>
    </w:div>
    <w:div w:id="591669099">
      <w:bodyDiv w:val="1"/>
      <w:marLeft w:val="0"/>
      <w:marRight w:val="0"/>
      <w:marTop w:val="0"/>
      <w:marBottom w:val="0"/>
      <w:divBdr>
        <w:top w:val="none" w:sz="0" w:space="0" w:color="auto"/>
        <w:left w:val="none" w:sz="0" w:space="0" w:color="auto"/>
        <w:bottom w:val="none" w:sz="0" w:space="0" w:color="auto"/>
        <w:right w:val="none" w:sz="0" w:space="0" w:color="auto"/>
      </w:divBdr>
    </w:div>
    <w:div w:id="868567943">
      <w:bodyDiv w:val="1"/>
      <w:marLeft w:val="0"/>
      <w:marRight w:val="0"/>
      <w:marTop w:val="0"/>
      <w:marBottom w:val="0"/>
      <w:divBdr>
        <w:top w:val="none" w:sz="0" w:space="0" w:color="auto"/>
        <w:left w:val="none" w:sz="0" w:space="0" w:color="auto"/>
        <w:bottom w:val="none" w:sz="0" w:space="0" w:color="auto"/>
        <w:right w:val="none" w:sz="0" w:space="0" w:color="auto"/>
      </w:divBdr>
    </w:div>
    <w:div w:id="1523788189">
      <w:bodyDiv w:val="1"/>
      <w:marLeft w:val="0"/>
      <w:marRight w:val="0"/>
      <w:marTop w:val="0"/>
      <w:marBottom w:val="0"/>
      <w:divBdr>
        <w:top w:val="none" w:sz="0" w:space="0" w:color="auto"/>
        <w:left w:val="none" w:sz="0" w:space="0" w:color="auto"/>
        <w:bottom w:val="none" w:sz="0" w:space="0" w:color="auto"/>
        <w:right w:val="none" w:sz="0" w:space="0" w:color="auto"/>
      </w:divBdr>
    </w:div>
    <w:div w:id="18374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5867\Documents\Satra%20-%20Correspondence\Satra%20Amend%202%20IAWP%20com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103BE988EC1941A2C567D215298D1B" ma:contentTypeVersion="17" ma:contentTypeDescription="Create a new document." ma:contentTypeScope="" ma:versionID="6d480460faf1125ee5e7d4e9dee96ac1">
  <xsd:schema xmlns:xsd="http://www.w3.org/2001/XMLSchema" xmlns:xs="http://www.w3.org/2001/XMLSchema" xmlns:p="http://schemas.microsoft.com/office/2006/metadata/properties" xmlns:ns2="fba9f462-0c0a-4900-a05a-b8418bad5c86" xmlns:ns3="69198f42-0e3f-4aac-a84f-1e96641b8d6b" targetNamespace="http://schemas.microsoft.com/office/2006/metadata/properties" ma:root="true" ma:fieldsID="cf103f6f377d133ae13d746bfd8351f1" ns2:_="" ns3:_="">
    <xsd:import namespace="fba9f462-0c0a-4900-a05a-b8418bad5c86"/>
    <xsd:import namespace="69198f42-0e3f-4aac-a84f-1e96641b8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f462-0c0a-4900-a05a-b8418bad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98f42-0e3f-4aac-a84f-1e96641b8d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52accc-cf2a-4713-851d-df0d528df6c4}" ma:internalName="TaxCatchAll" ma:showField="CatchAllData" ma:web="69198f42-0e3f-4aac-a84f-1e96641b8d6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a9f462-0c0a-4900-a05a-b8418bad5c86">
      <Terms xmlns="http://schemas.microsoft.com/office/infopath/2007/PartnerControls"/>
    </lcf76f155ced4ddcb4097134ff3c332f>
    <TaxCatchAll xmlns="69198f42-0e3f-4aac-a84f-1e96641b8d6b" xsi:nil="true"/>
  </documentManagement>
</p:properties>
</file>

<file path=customXml/itemProps1.xml><?xml version="1.0" encoding="utf-8"?>
<ds:datastoreItem xmlns:ds="http://schemas.openxmlformats.org/officeDocument/2006/customXml" ds:itemID="{E5BE0186-58A4-4E7C-A7B6-956B8167E27E}">
  <ds:schemaRefs>
    <ds:schemaRef ds:uri="http://schemas.openxmlformats.org/officeDocument/2006/bibliography"/>
  </ds:schemaRefs>
</ds:datastoreItem>
</file>

<file path=customXml/itemProps2.xml><?xml version="1.0" encoding="utf-8"?>
<ds:datastoreItem xmlns:ds="http://schemas.openxmlformats.org/officeDocument/2006/customXml" ds:itemID="{3E3764AE-E762-468D-871E-C20F8B3E8585}"/>
</file>

<file path=customXml/itemProps3.xml><?xml version="1.0" encoding="utf-8"?>
<ds:datastoreItem xmlns:ds="http://schemas.openxmlformats.org/officeDocument/2006/customXml" ds:itemID="{7475DE0B-8563-4527-949B-57824F9E61C1}"/>
</file>

<file path=customXml/itemProps4.xml><?xml version="1.0" encoding="utf-8"?>
<ds:datastoreItem xmlns:ds="http://schemas.openxmlformats.org/officeDocument/2006/customXml" ds:itemID="{C90E60FF-C877-47CA-8B95-AA0186A095C7}"/>
</file>

<file path=docProps/app.xml><?xml version="1.0" encoding="utf-8"?>
<Properties xmlns="http://schemas.openxmlformats.org/officeDocument/2006/extended-properties" xmlns:vt="http://schemas.openxmlformats.org/officeDocument/2006/docPropsVTypes">
  <Template>Satra Amend 2 IAWP comments.dotx</Template>
  <TotalTime>0</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Ohio EPA</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Hagen, Erik</dc:creator>
  <cp:lastModifiedBy>Lee Holder</cp:lastModifiedBy>
  <cp:revision>2</cp:revision>
  <cp:lastPrinted>2012-10-03T13:42:00Z</cp:lastPrinted>
  <dcterms:created xsi:type="dcterms:W3CDTF">2014-03-18T21:54:00Z</dcterms:created>
  <dcterms:modified xsi:type="dcterms:W3CDTF">2014-03-18T21:54:00Z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0x01010044103BE988EC1941A2C567D215298D1B</vt:lpwstr>
  </property>
</Properties>
</file>